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60673865"/>
    <w:bookmarkStart w:id="1" w:name="_GoBack"/>
    <w:bookmarkEnd w:id="1"/>
    <w:p w14:paraId="56893994" w14:textId="77777777" w:rsidR="00F4059F" w:rsidRDefault="00F73DA8">
      <w:r>
        <w:rPr>
          <w:noProof/>
        </w:rPr>
        <mc:AlternateContent>
          <mc:Choice Requires="wps">
            <w:drawing>
              <wp:anchor distT="0" distB="0" distL="114300" distR="114300" simplePos="0" relativeHeight="251659264" behindDoc="0" locked="0" layoutInCell="1" allowOverlap="1" wp14:anchorId="30CA4ED7" wp14:editId="5C3F512A">
                <wp:simplePos x="0" y="0"/>
                <wp:positionH relativeFrom="column">
                  <wp:posOffset>1268301</wp:posOffset>
                </wp:positionH>
                <wp:positionV relativeFrom="paragraph">
                  <wp:posOffset>-386635</wp:posOffset>
                </wp:positionV>
                <wp:extent cx="6432926" cy="315801"/>
                <wp:effectExtent l="19050" t="19050" r="25400" b="27305"/>
                <wp:wrapNone/>
                <wp:docPr id="1" name="Text Box 1"/>
                <wp:cNvGraphicFramePr/>
                <a:graphic xmlns:a="http://schemas.openxmlformats.org/drawingml/2006/main">
                  <a:graphicData uri="http://schemas.microsoft.com/office/word/2010/wordprocessingShape">
                    <wps:wsp>
                      <wps:cNvSpPr txBox="1"/>
                      <wps:spPr>
                        <a:xfrm>
                          <a:off x="0" y="0"/>
                          <a:ext cx="6432926" cy="315801"/>
                        </a:xfrm>
                        <a:prstGeom prst="rect">
                          <a:avLst/>
                        </a:prstGeom>
                        <a:solidFill>
                          <a:schemeClr val="lt1"/>
                        </a:solidFill>
                        <a:ln w="28575">
                          <a:solidFill>
                            <a:prstClr val="black"/>
                          </a:solidFill>
                        </a:ln>
                      </wps:spPr>
                      <wps:txbx>
                        <w:txbxContent>
                          <w:p w14:paraId="0E524182" w14:textId="77777777" w:rsidR="00F73DA8" w:rsidRDefault="00FA24E7">
                            <w:r>
                              <w:rPr>
                                <w:highlight w:val="green"/>
                              </w:rPr>
                              <w:t>4. 4</w:t>
                            </w:r>
                            <w:r w:rsidR="00F73DA8" w:rsidRPr="000A0255">
                              <w:rPr>
                                <w:highlight w:val="green"/>
                              </w:rPr>
                              <w:t>Student’s wellbeing and safety working within school’s policy</w:t>
                            </w:r>
                            <w:r w:rsidR="00C90420" w:rsidRPr="000A0255">
                              <w:rPr>
                                <w:highlight w:val="green"/>
                              </w:rPr>
                              <w:t>, curriculum and legislative requirements</w:t>
                            </w:r>
                            <w:r w:rsidR="00C9042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9.85pt;margin-top:-30.45pt;width:506.55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" fillcolor="white [3201]" strokeweight="2.25pt">
                <v:textbox>
                  <w:txbxContent>
                    <w:p w:rsidR="00F73DA8" w:rsidRDefault="00FA24E7">
                      <w:r>
                        <w:rPr>
                          <w:highlight w:val="green"/>
                        </w:rPr>
                        <w:t>4. 4</w:t>
                      </w:r>
                      <w:bookmarkStart w:id="2" w:name="_GoBack"/>
                      <w:bookmarkEnd w:id="2"/>
                      <w:r w:rsidR="00F73DA8" w:rsidRPr="000A0255">
                        <w:rPr>
                          <w:highlight w:val="green"/>
                        </w:rPr>
                        <w:t>Student’s wellbeing and safety working within school’s policy</w:t>
                      </w:r>
                      <w:r w:rsidR="00C90420" w:rsidRPr="000A0255">
                        <w:rPr>
                          <w:highlight w:val="green"/>
                        </w:rPr>
                        <w:t>, curriculum and legislative requirements</w:t>
                      </w:r>
                      <w:r w:rsidR="00C90420">
                        <w:t xml:space="preserve"> </w:t>
                      </w:r>
                    </w:p>
                  </w:txbxContent>
                </v:textbox>
              </v:shape>
            </w:pict>
          </mc:Fallback>
        </mc:AlternateContent>
      </w:r>
    </w:p>
    <w:tbl>
      <w:tblPr>
        <w:tblStyle w:val="TableGrid"/>
        <w:tblW w:w="15027" w:type="dxa"/>
        <w:tblInd w:w="-431" w:type="dxa"/>
        <w:tblLook w:val="04A0" w:firstRow="1" w:lastRow="0" w:firstColumn="1" w:lastColumn="0" w:noHBand="0" w:noVBand="1"/>
      </w:tblPr>
      <w:tblGrid>
        <w:gridCol w:w="7515"/>
        <w:gridCol w:w="7512"/>
      </w:tblGrid>
      <w:tr w:rsidR="002B011D" w:rsidRPr="002B011D" w14:paraId="745AF9B7" w14:textId="77777777" w:rsidTr="00464EF4">
        <w:tc>
          <w:tcPr>
            <w:tcW w:w="15027" w:type="dxa"/>
            <w:gridSpan w:val="2"/>
            <w:shd w:val="clear" w:color="auto" w:fill="8EAADB" w:themeFill="accent1" w:themeFillTint="99"/>
          </w:tcPr>
          <w:bookmarkEnd w:id="0"/>
          <w:p w14:paraId="6972CE23" w14:textId="77777777" w:rsidR="002B011D" w:rsidRPr="002B011D" w:rsidRDefault="002B011D" w:rsidP="002B011D">
            <w:pPr>
              <w:rPr>
                <w:b/>
                <w:bCs/>
                <w:sz w:val="24"/>
                <w:szCs w:val="24"/>
              </w:rPr>
            </w:pPr>
            <w:r w:rsidRPr="002B011D">
              <w:rPr>
                <w:b/>
                <w:bCs/>
                <w:sz w:val="24"/>
                <w:szCs w:val="24"/>
              </w:rPr>
              <w:t xml:space="preserve"> HEALTH AND PHYSICAL EDUCATION </w:t>
            </w:r>
            <w:r w:rsidR="002E5E61">
              <w:rPr>
                <w:b/>
                <w:bCs/>
                <w:sz w:val="24"/>
                <w:szCs w:val="24"/>
              </w:rPr>
              <w:t xml:space="preserve">                                                                                                                   </w:t>
            </w:r>
            <w:r w:rsidR="002E5E61" w:rsidRPr="002B011D">
              <w:rPr>
                <w:b/>
                <w:bCs/>
                <w:sz w:val="24"/>
                <w:szCs w:val="24"/>
                <w:highlight w:val="yellow"/>
              </w:rPr>
              <w:t>WATCHING OUT FOR ME! SAFETY SMART</w:t>
            </w:r>
            <w:r w:rsidR="002E5E61" w:rsidRPr="002B011D">
              <w:rPr>
                <w:b/>
                <w:bCs/>
                <w:sz w:val="24"/>
                <w:szCs w:val="24"/>
              </w:rPr>
              <w:t xml:space="preserve">  </w:t>
            </w:r>
          </w:p>
        </w:tc>
      </w:tr>
      <w:tr w:rsidR="002B011D" w:rsidRPr="002B011D" w14:paraId="672FF67F" w14:textId="77777777" w:rsidTr="00464EF4">
        <w:tc>
          <w:tcPr>
            <w:tcW w:w="7515" w:type="dxa"/>
          </w:tcPr>
          <w:p w14:paraId="612ADBFD" w14:textId="77777777" w:rsidR="002B011D" w:rsidRPr="002B011D" w:rsidRDefault="002B011D" w:rsidP="002B011D">
            <w:pPr>
              <w:rPr>
                <w:sz w:val="18"/>
                <w:szCs w:val="18"/>
              </w:rPr>
            </w:pPr>
            <w:r w:rsidRPr="002B011D">
              <w:rPr>
                <w:b/>
                <w:bCs/>
                <w:sz w:val="18"/>
                <w:szCs w:val="18"/>
              </w:rPr>
              <w:t>Year</w:t>
            </w:r>
            <w:r w:rsidRPr="002B011D">
              <w:rPr>
                <w:sz w:val="18"/>
                <w:szCs w:val="18"/>
              </w:rPr>
              <w:t xml:space="preserve">   Foundation </w:t>
            </w:r>
          </w:p>
        </w:tc>
        <w:tc>
          <w:tcPr>
            <w:tcW w:w="7512" w:type="dxa"/>
          </w:tcPr>
          <w:p w14:paraId="44465226" w14:textId="77777777" w:rsidR="002B011D" w:rsidRPr="002B011D" w:rsidRDefault="002B011D" w:rsidP="002B011D">
            <w:pPr>
              <w:rPr>
                <w:sz w:val="18"/>
                <w:szCs w:val="18"/>
              </w:rPr>
            </w:pPr>
            <w:r w:rsidRPr="002B011D">
              <w:rPr>
                <w:b/>
                <w:bCs/>
                <w:sz w:val="18"/>
                <w:szCs w:val="18"/>
              </w:rPr>
              <w:t>School</w:t>
            </w:r>
            <w:r w:rsidRPr="002B011D">
              <w:rPr>
                <w:sz w:val="18"/>
                <w:szCs w:val="18"/>
              </w:rPr>
              <w:t xml:space="preserve"> </w:t>
            </w:r>
            <w:r w:rsidRPr="002B011D">
              <w:rPr>
                <w:sz w:val="18"/>
                <w:szCs w:val="18"/>
                <w:highlight w:val="black"/>
              </w:rPr>
              <w:t>Amity College</w:t>
            </w:r>
            <w:r w:rsidRPr="002B011D">
              <w:rPr>
                <w:sz w:val="18"/>
                <w:szCs w:val="18"/>
              </w:rPr>
              <w:t xml:space="preserve"> </w:t>
            </w:r>
          </w:p>
          <w:p w14:paraId="58CA6275" w14:textId="77777777" w:rsidR="002B011D" w:rsidRPr="002B011D" w:rsidRDefault="002B011D" w:rsidP="002B011D">
            <w:pPr>
              <w:rPr>
                <w:sz w:val="18"/>
                <w:szCs w:val="18"/>
              </w:rPr>
            </w:pPr>
          </w:p>
        </w:tc>
      </w:tr>
      <w:tr w:rsidR="002B011D" w:rsidRPr="002B011D" w14:paraId="1F071BC3" w14:textId="77777777" w:rsidTr="00464EF4">
        <w:tc>
          <w:tcPr>
            <w:tcW w:w="7515" w:type="dxa"/>
          </w:tcPr>
          <w:p w14:paraId="361057BB" w14:textId="77777777" w:rsidR="002B011D" w:rsidRPr="002B011D" w:rsidRDefault="002B011D" w:rsidP="002B011D">
            <w:pPr>
              <w:rPr>
                <w:sz w:val="18"/>
                <w:szCs w:val="18"/>
              </w:rPr>
            </w:pPr>
            <w:r w:rsidRPr="002B011D">
              <w:rPr>
                <w:b/>
                <w:bCs/>
                <w:sz w:val="18"/>
                <w:szCs w:val="18"/>
              </w:rPr>
              <w:t>Date</w:t>
            </w:r>
            <w:r w:rsidRPr="002B011D">
              <w:rPr>
                <w:sz w:val="18"/>
                <w:szCs w:val="18"/>
              </w:rPr>
              <w:t xml:space="preserve"> Term 4 (Week1-week</w:t>
            </w:r>
            <w:r w:rsidR="002E5E61" w:rsidRPr="002E5E61">
              <w:rPr>
                <w:sz w:val="18"/>
                <w:szCs w:val="18"/>
              </w:rPr>
              <w:t>6</w:t>
            </w:r>
            <w:r w:rsidRPr="002B011D">
              <w:rPr>
                <w:sz w:val="18"/>
                <w:szCs w:val="18"/>
              </w:rPr>
              <w:t>)</w:t>
            </w:r>
          </w:p>
          <w:p w14:paraId="2C02627F" w14:textId="77777777" w:rsidR="002B011D" w:rsidRPr="002B011D" w:rsidRDefault="002B011D" w:rsidP="002B011D">
            <w:pPr>
              <w:rPr>
                <w:sz w:val="18"/>
                <w:szCs w:val="18"/>
              </w:rPr>
            </w:pPr>
          </w:p>
        </w:tc>
        <w:tc>
          <w:tcPr>
            <w:tcW w:w="7512" w:type="dxa"/>
          </w:tcPr>
          <w:p w14:paraId="72897980" w14:textId="77777777" w:rsidR="002B011D" w:rsidRPr="002B011D" w:rsidRDefault="002B011D" w:rsidP="002B011D">
            <w:pPr>
              <w:rPr>
                <w:sz w:val="18"/>
                <w:szCs w:val="18"/>
              </w:rPr>
            </w:pPr>
            <w:r w:rsidRPr="002B011D">
              <w:rPr>
                <w:b/>
                <w:bCs/>
                <w:sz w:val="18"/>
                <w:szCs w:val="18"/>
              </w:rPr>
              <w:t>Duration</w:t>
            </w:r>
            <w:r w:rsidRPr="002B011D">
              <w:rPr>
                <w:sz w:val="18"/>
                <w:szCs w:val="18"/>
              </w:rPr>
              <w:t xml:space="preserve"> 45 Mins /week </w:t>
            </w:r>
          </w:p>
        </w:tc>
      </w:tr>
    </w:tbl>
    <w:tbl>
      <w:tblPr>
        <w:tblStyle w:val="TableGrid11"/>
        <w:tblW w:w="15026" w:type="dxa"/>
        <w:tblInd w:w="-459" w:type="dxa"/>
        <w:tblLook w:val="04A0" w:firstRow="1" w:lastRow="0" w:firstColumn="1" w:lastColumn="0" w:noHBand="0" w:noVBand="1"/>
      </w:tblPr>
      <w:tblGrid>
        <w:gridCol w:w="15026"/>
      </w:tblGrid>
      <w:tr w:rsidR="002B011D" w:rsidRPr="002B011D" w14:paraId="75F280A9" w14:textId="77777777" w:rsidTr="00464EF4">
        <w:tc>
          <w:tcPr>
            <w:tcW w:w="1502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EC0CFD8" w14:textId="77777777" w:rsidR="002B011D" w:rsidRPr="002B011D" w:rsidRDefault="002B011D" w:rsidP="002B011D">
            <w:pPr>
              <w:tabs>
                <w:tab w:val="center" w:pos="7405"/>
                <w:tab w:val="left" w:pos="10000"/>
              </w:tabs>
              <w:spacing w:before="120" w:line="360" w:lineRule="auto"/>
              <w:rPr>
                <w:rFonts w:asciiTheme="majorHAnsi" w:hAnsiTheme="majorHAnsi"/>
                <w:b/>
                <w:sz w:val="18"/>
                <w:szCs w:val="18"/>
              </w:rPr>
            </w:pPr>
            <w:r w:rsidRPr="002B011D">
              <w:rPr>
                <w:rFonts w:asciiTheme="majorHAnsi" w:hAnsiTheme="majorHAnsi"/>
                <w:b/>
                <w:sz w:val="18"/>
                <w:szCs w:val="18"/>
              </w:rPr>
              <w:t>Rationale</w:t>
            </w:r>
          </w:p>
        </w:tc>
      </w:tr>
      <w:tr w:rsidR="002B011D" w:rsidRPr="002B011D" w14:paraId="7EB25E99" w14:textId="77777777" w:rsidTr="00464EF4">
        <w:trPr>
          <w:trHeight w:val="699"/>
        </w:trPr>
        <w:tc>
          <w:tcPr>
            <w:tcW w:w="15026" w:type="dxa"/>
            <w:tcBorders>
              <w:top w:val="single" w:sz="4" w:space="0" w:color="auto"/>
              <w:left w:val="single" w:sz="4" w:space="0" w:color="auto"/>
              <w:bottom w:val="single" w:sz="4" w:space="0" w:color="auto"/>
              <w:right w:val="single" w:sz="4" w:space="0" w:color="auto"/>
            </w:tcBorders>
            <w:hideMark/>
          </w:tcPr>
          <w:p w14:paraId="733EC283" w14:textId="77777777" w:rsidR="002B011D" w:rsidRPr="002B011D" w:rsidRDefault="002B011D" w:rsidP="002B011D">
            <w:pPr>
              <w:spacing w:before="120" w:line="360" w:lineRule="auto"/>
              <w:jc w:val="both"/>
              <w:rPr>
                <w:rFonts w:asciiTheme="majorHAnsi" w:hAnsiTheme="majorHAnsi"/>
                <w:bCs/>
                <w:sz w:val="18"/>
                <w:szCs w:val="18"/>
              </w:rPr>
            </w:pPr>
            <w:r w:rsidRPr="002B011D">
              <w:rPr>
                <w:rFonts w:asciiTheme="majorHAnsi" w:hAnsiTheme="majorHAnsi"/>
                <w:bCs/>
                <w:sz w:val="18"/>
                <w:szCs w:val="18"/>
              </w:rPr>
              <w:t xml:space="preserve"> </w:t>
            </w:r>
            <w:r w:rsidRPr="002B011D">
              <w:rPr>
                <w:rFonts w:asciiTheme="majorHAnsi" w:hAnsiTheme="majorHAnsi"/>
                <w:bCs/>
                <w:sz w:val="18"/>
                <w:szCs w:val="18"/>
                <w:highlight w:val="yellow"/>
              </w:rPr>
              <w:t>In this unit of work, students will learn about what and who supports themselves to be healthy and safe citizens. They will be provided with opportunities to identify actions and protective strategies that promote health and safety. Students will also explore protective strategies. They will also be provided with</w:t>
            </w:r>
            <w:r w:rsidR="002E5E61" w:rsidRPr="00F73DA8">
              <w:rPr>
                <w:rFonts w:asciiTheme="majorHAnsi" w:hAnsiTheme="majorHAnsi"/>
                <w:bCs/>
                <w:sz w:val="18"/>
                <w:szCs w:val="18"/>
                <w:highlight w:val="yellow"/>
              </w:rPr>
              <w:t xml:space="preserve"> </w:t>
            </w:r>
            <w:r w:rsidRPr="002B011D">
              <w:rPr>
                <w:rFonts w:asciiTheme="majorHAnsi" w:hAnsiTheme="majorHAnsi"/>
                <w:bCs/>
                <w:sz w:val="18"/>
                <w:szCs w:val="18"/>
                <w:highlight w:val="yellow"/>
              </w:rPr>
              <w:t>opportunities to develop their knowledge, understanding and skills to develop self-management and interpersonal skills.</w:t>
            </w:r>
          </w:p>
          <w:tbl>
            <w:tblPr>
              <w:tblStyle w:val="TableGrid1"/>
              <w:tblW w:w="0" w:type="auto"/>
              <w:tblLook w:val="04A0" w:firstRow="1" w:lastRow="0" w:firstColumn="1" w:lastColumn="0" w:noHBand="0" w:noVBand="1"/>
            </w:tblPr>
            <w:tblGrid>
              <w:gridCol w:w="14800"/>
            </w:tblGrid>
            <w:tr w:rsidR="002B011D" w:rsidRPr="002B011D" w14:paraId="59D435E0" w14:textId="77777777" w:rsidTr="002B011D">
              <w:tc>
                <w:tcPr>
                  <w:tcW w:w="14800" w:type="dxa"/>
                  <w:shd w:val="clear" w:color="auto" w:fill="B4C6E7" w:themeFill="accent1" w:themeFillTint="66"/>
                </w:tcPr>
                <w:p w14:paraId="49B903D1" w14:textId="77777777" w:rsidR="002B011D" w:rsidRPr="002B011D" w:rsidRDefault="002B011D" w:rsidP="002B011D">
                  <w:pPr>
                    <w:spacing w:before="120" w:line="360" w:lineRule="auto"/>
                    <w:jc w:val="both"/>
                    <w:rPr>
                      <w:rFonts w:asciiTheme="majorHAnsi" w:hAnsiTheme="majorHAnsi"/>
                      <w:b/>
                      <w:sz w:val="18"/>
                      <w:szCs w:val="18"/>
                    </w:rPr>
                  </w:pPr>
                  <w:r w:rsidRPr="002B011D">
                    <w:rPr>
                      <w:rFonts w:asciiTheme="majorHAnsi" w:hAnsiTheme="majorHAnsi"/>
                      <w:b/>
                      <w:sz w:val="18"/>
                      <w:szCs w:val="18"/>
                    </w:rPr>
                    <w:t xml:space="preserve"> NESA Specific Learning Outcome/s: </w:t>
                  </w:r>
                </w:p>
              </w:tc>
            </w:tr>
            <w:tr w:rsidR="002B011D" w:rsidRPr="002B011D" w14:paraId="6868C09F" w14:textId="77777777" w:rsidTr="002B011D">
              <w:tc>
                <w:tcPr>
                  <w:tcW w:w="14800" w:type="dxa"/>
                  <w:shd w:val="clear" w:color="auto" w:fill="auto"/>
                </w:tcPr>
                <w:p w14:paraId="3D23C11F" w14:textId="77777777" w:rsidR="002B011D" w:rsidRPr="002B011D" w:rsidRDefault="002B011D" w:rsidP="002B011D">
                  <w:pPr>
                    <w:spacing w:before="120" w:line="360" w:lineRule="auto"/>
                    <w:jc w:val="both"/>
                    <w:rPr>
                      <w:rFonts w:asciiTheme="majorHAnsi" w:hAnsiTheme="majorHAnsi"/>
                      <w:b/>
                      <w:sz w:val="18"/>
                      <w:szCs w:val="18"/>
                    </w:rPr>
                  </w:pPr>
                  <w:r w:rsidRPr="002B011D">
                    <w:rPr>
                      <w:rFonts w:asciiTheme="majorHAnsi" w:hAnsiTheme="majorHAnsi"/>
                      <w:b/>
                      <w:sz w:val="18"/>
                      <w:szCs w:val="18"/>
                    </w:rPr>
                    <w:t>Knowledge and Understanding Outcomes: Healthy, Safe and Active Lifestyles</w:t>
                  </w:r>
                </w:p>
                <w:p w14:paraId="1FB48793" w14:textId="77777777" w:rsidR="002B011D" w:rsidRPr="002B011D" w:rsidRDefault="002B011D" w:rsidP="002B011D">
                  <w:pPr>
                    <w:numPr>
                      <w:ilvl w:val="0"/>
                      <w:numId w:val="1"/>
                    </w:numPr>
                    <w:spacing w:before="120" w:line="360" w:lineRule="auto"/>
                    <w:contextualSpacing/>
                    <w:jc w:val="both"/>
                    <w:rPr>
                      <w:rFonts w:asciiTheme="majorHAnsi" w:hAnsiTheme="majorHAnsi"/>
                      <w:bCs/>
                      <w:sz w:val="18"/>
                      <w:szCs w:val="18"/>
                    </w:rPr>
                  </w:pPr>
                  <w:r w:rsidRPr="002B011D">
                    <w:rPr>
                      <w:rFonts w:asciiTheme="majorHAnsi" w:hAnsiTheme="majorHAnsi"/>
                      <w:bCs/>
                      <w:sz w:val="18"/>
                      <w:szCs w:val="18"/>
                    </w:rPr>
                    <w:t xml:space="preserve">PDe-2 identifies people and demonstrates </w:t>
                  </w:r>
                  <w:r w:rsidRPr="002B011D">
                    <w:rPr>
                      <w:rFonts w:asciiTheme="majorHAnsi" w:hAnsiTheme="majorHAnsi"/>
                      <w:bCs/>
                      <w:sz w:val="18"/>
                      <w:szCs w:val="18"/>
                      <w:highlight w:val="yellow"/>
                    </w:rPr>
                    <w:t>protective strategies</w:t>
                  </w:r>
                  <w:r w:rsidRPr="002B011D">
                    <w:rPr>
                      <w:rFonts w:asciiTheme="majorHAnsi" w:hAnsiTheme="majorHAnsi"/>
                      <w:bCs/>
                      <w:sz w:val="18"/>
                      <w:szCs w:val="18"/>
                    </w:rPr>
                    <w:t xml:space="preserve"> that help keep themselves healthy, resilient and safe</w:t>
                  </w:r>
                </w:p>
                <w:p w14:paraId="6BC1C68D" w14:textId="77777777" w:rsidR="002B011D" w:rsidRPr="002B011D" w:rsidRDefault="002B011D" w:rsidP="002B011D">
                  <w:pPr>
                    <w:numPr>
                      <w:ilvl w:val="0"/>
                      <w:numId w:val="1"/>
                    </w:numPr>
                    <w:spacing w:before="120" w:line="360" w:lineRule="auto"/>
                    <w:contextualSpacing/>
                    <w:jc w:val="both"/>
                    <w:rPr>
                      <w:rFonts w:asciiTheme="majorHAnsi" w:hAnsiTheme="majorHAnsi"/>
                      <w:bCs/>
                      <w:sz w:val="18"/>
                      <w:szCs w:val="18"/>
                    </w:rPr>
                  </w:pPr>
                  <w:r w:rsidRPr="002B011D">
                    <w:rPr>
                      <w:rFonts w:asciiTheme="majorHAnsi" w:hAnsiTheme="majorHAnsi"/>
                      <w:bCs/>
                      <w:sz w:val="18"/>
                      <w:szCs w:val="18"/>
                    </w:rPr>
                    <w:t xml:space="preserve">PDe-7 identifies actions that </w:t>
                  </w:r>
                  <w:r w:rsidRPr="002B011D">
                    <w:rPr>
                      <w:rFonts w:asciiTheme="majorHAnsi" w:hAnsiTheme="majorHAnsi"/>
                      <w:bCs/>
                      <w:sz w:val="18"/>
                      <w:szCs w:val="18"/>
                      <w:highlight w:val="yellow"/>
                    </w:rPr>
                    <w:t>promote health, safety, wellbeing</w:t>
                  </w:r>
                  <w:r w:rsidRPr="002B011D">
                    <w:rPr>
                      <w:rFonts w:asciiTheme="majorHAnsi" w:hAnsiTheme="majorHAnsi"/>
                      <w:bCs/>
                      <w:sz w:val="18"/>
                      <w:szCs w:val="18"/>
                    </w:rPr>
                    <w:t xml:space="preserve"> and physically active spaces</w:t>
                  </w:r>
                </w:p>
                <w:p w14:paraId="03EAF940" w14:textId="77777777" w:rsidR="002B011D" w:rsidRPr="002B011D" w:rsidRDefault="002B011D" w:rsidP="002B011D">
                  <w:pPr>
                    <w:numPr>
                      <w:ilvl w:val="0"/>
                      <w:numId w:val="1"/>
                    </w:numPr>
                    <w:spacing w:before="120" w:line="360" w:lineRule="auto"/>
                    <w:contextualSpacing/>
                    <w:jc w:val="both"/>
                    <w:rPr>
                      <w:rFonts w:asciiTheme="majorHAnsi" w:hAnsiTheme="majorHAnsi"/>
                      <w:bCs/>
                      <w:sz w:val="18"/>
                      <w:szCs w:val="18"/>
                    </w:rPr>
                  </w:pPr>
                  <w:r w:rsidRPr="002B011D">
                    <w:rPr>
                      <w:rFonts w:asciiTheme="majorHAnsi" w:hAnsiTheme="majorHAnsi"/>
                      <w:bCs/>
                      <w:sz w:val="18"/>
                      <w:szCs w:val="18"/>
                    </w:rPr>
                    <w:t xml:space="preserve">PDe-10 uses interpersonal skills to effectively interact with others </w:t>
                  </w:r>
                </w:p>
              </w:tc>
            </w:tr>
          </w:tbl>
          <w:p w14:paraId="15B292B1" w14:textId="77777777" w:rsidR="002B011D" w:rsidRPr="002B011D" w:rsidRDefault="002B011D" w:rsidP="002B011D">
            <w:pPr>
              <w:spacing w:before="120" w:line="360" w:lineRule="auto"/>
              <w:jc w:val="both"/>
              <w:rPr>
                <w:rFonts w:asciiTheme="majorHAnsi" w:hAnsiTheme="majorHAnsi"/>
                <w:sz w:val="18"/>
                <w:szCs w:val="18"/>
              </w:rPr>
            </w:pPr>
          </w:p>
        </w:tc>
      </w:tr>
    </w:tbl>
    <w:tbl>
      <w:tblPr>
        <w:tblStyle w:val="TableGrid111"/>
        <w:tblW w:w="15026" w:type="dxa"/>
        <w:tblInd w:w="-459" w:type="dxa"/>
        <w:tblLook w:val="04A0" w:firstRow="1" w:lastRow="0" w:firstColumn="1" w:lastColumn="0" w:noHBand="0" w:noVBand="1"/>
      </w:tblPr>
      <w:tblGrid>
        <w:gridCol w:w="15026"/>
      </w:tblGrid>
      <w:tr w:rsidR="002B011D" w:rsidRPr="00573EE2" w14:paraId="16C6C3FB" w14:textId="77777777" w:rsidTr="00464EF4">
        <w:trPr>
          <w:trHeight w:val="470"/>
        </w:trPr>
        <w:tc>
          <w:tcPr>
            <w:tcW w:w="1502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E40CAB" w14:textId="77777777" w:rsidR="002B011D" w:rsidRPr="002B011D" w:rsidRDefault="002B011D" w:rsidP="00464EF4">
            <w:pPr>
              <w:spacing w:before="120" w:line="360" w:lineRule="auto"/>
              <w:jc w:val="both"/>
              <w:rPr>
                <w:rFonts w:asciiTheme="majorHAnsi" w:hAnsiTheme="majorHAnsi"/>
                <w:b/>
                <w:sz w:val="16"/>
                <w:szCs w:val="16"/>
              </w:rPr>
            </w:pPr>
            <w:r>
              <w:rPr>
                <w:rFonts w:asciiTheme="majorHAnsi" w:hAnsiTheme="majorHAnsi"/>
                <w:b/>
                <w:sz w:val="16"/>
                <w:szCs w:val="16"/>
              </w:rPr>
              <w:t xml:space="preserve"> </w:t>
            </w:r>
            <w:r w:rsidRPr="002B011D">
              <w:rPr>
                <w:rFonts w:asciiTheme="majorHAnsi" w:hAnsiTheme="majorHAnsi"/>
                <w:b/>
                <w:sz w:val="16"/>
                <w:szCs w:val="16"/>
              </w:rPr>
              <w:t>Key Inquiry Question</w:t>
            </w:r>
          </w:p>
        </w:tc>
      </w:tr>
      <w:tr w:rsidR="002B011D" w:rsidRPr="002E5E61" w14:paraId="126FE344" w14:textId="77777777" w:rsidTr="00464EF4">
        <w:trPr>
          <w:trHeight w:val="470"/>
        </w:trPr>
        <w:tc>
          <w:tcPr>
            <w:tcW w:w="15026" w:type="dxa"/>
            <w:tcBorders>
              <w:top w:val="single" w:sz="4" w:space="0" w:color="auto"/>
              <w:left w:val="single" w:sz="4" w:space="0" w:color="auto"/>
              <w:bottom w:val="single" w:sz="4" w:space="0" w:color="auto"/>
              <w:right w:val="single" w:sz="4" w:space="0" w:color="auto"/>
            </w:tcBorders>
            <w:shd w:val="clear" w:color="auto" w:fill="FFFFFF" w:themeFill="background1"/>
          </w:tcPr>
          <w:p w14:paraId="62592F13" w14:textId="77777777" w:rsidR="002B011D" w:rsidRPr="002E5E61" w:rsidRDefault="002B011D" w:rsidP="002B011D">
            <w:pPr>
              <w:pStyle w:val="ListParagraph"/>
              <w:numPr>
                <w:ilvl w:val="0"/>
                <w:numId w:val="2"/>
              </w:numPr>
              <w:spacing w:before="120" w:line="360" w:lineRule="auto"/>
              <w:jc w:val="both"/>
              <w:rPr>
                <w:rFonts w:asciiTheme="majorHAnsi" w:hAnsiTheme="majorHAnsi"/>
                <w:bCs/>
                <w:sz w:val="18"/>
                <w:szCs w:val="18"/>
              </w:rPr>
            </w:pPr>
            <w:r w:rsidRPr="00F73DA8">
              <w:rPr>
                <w:rFonts w:asciiTheme="majorHAnsi" w:hAnsiTheme="majorHAnsi"/>
                <w:bCs/>
                <w:sz w:val="18"/>
                <w:szCs w:val="18"/>
                <w:highlight w:val="yellow"/>
              </w:rPr>
              <w:t>What choices can help make me safe, supported and active?</w:t>
            </w:r>
            <w:r w:rsidRPr="002E5E61">
              <w:rPr>
                <w:rFonts w:asciiTheme="majorHAnsi" w:hAnsiTheme="majorHAnsi"/>
                <w:bCs/>
                <w:sz w:val="18"/>
                <w:szCs w:val="18"/>
              </w:rPr>
              <w:t xml:space="preserve">    </w:t>
            </w:r>
            <w:r w:rsidR="002E5E61" w:rsidRPr="002E5E61">
              <w:rPr>
                <w:rFonts w:asciiTheme="majorHAnsi" w:hAnsiTheme="majorHAnsi"/>
                <w:bCs/>
                <w:sz w:val="18"/>
                <w:szCs w:val="18"/>
              </w:rPr>
              <w:t xml:space="preserve">-        </w:t>
            </w:r>
            <w:r w:rsidRPr="00F73DA8">
              <w:rPr>
                <w:rFonts w:asciiTheme="majorHAnsi" w:hAnsiTheme="majorHAnsi"/>
                <w:bCs/>
                <w:sz w:val="18"/>
                <w:szCs w:val="18"/>
                <w:highlight w:val="yellow"/>
              </w:rPr>
              <w:t>How do we make healthy and safe choices in different situations?</w:t>
            </w:r>
            <w:r w:rsidRPr="002E5E61">
              <w:rPr>
                <w:rFonts w:asciiTheme="majorHAnsi" w:hAnsiTheme="majorHAnsi"/>
                <w:bCs/>
                <w:sz w:val="18"/>
                <w:szCs w:val="18"/>
              </w:rPr>
              <w:t xml:space="preserve">     </w:t>
            </w:r>
            <w:r w:rsidR="002E5E61" w:rsidRPr="002E5E61">
              <w:rPr>
                <w:rFonts w:asciiTheme="majorHAnsi" w:hAnsiTheme="majorHAnsi"/>
                <w:bCs/>
                <w:sz w:val="18"/>
                <w:szCs w:val="18"/>
              </w:rPr>
              <w:t xml:space="preserve"> </w:t>
            </w:r>
            <w:r w:rsidRPr="00F73DA8">
              <w:rPr>
                <w:rFonts w:asciiTheme="majorHAnsi" w:hAnsiTheme="majorHAnsi"/>
                <w:bCs/>
                <w:sz w:val="18"/>
                <w:szCs w:val="18"/>
                <w:highlight w:val="yellow"/>
              </w:rPr>
              <w:t>What helps us to stay healthy and safe?</w:t>
            </w:r>
          </w:p>
        </w:tc>
      </w:tr>
    </w:tbl>
    <w:tbl>
      <w:tblPr>
        <w:tblStyle w:val="TableGrid2"/>
        <w:tblW w:w="15027" w:type="dxa"/>
        <w:tblInd w:w="-431" w:type="dxa"/>
        <w:tblLook w:val="04A0" w:firstRow="1" w:lastRow="0" w:firstColumn="1" w:lastColumn="0" w:noHBand="0" w:noVBand="1"/>
      </w:tblPr>
      <w:tblGrid>
        <w:gridCol w:w="15027"/>
      </w:tblGrid>
      <w:tr w:rsidR="002B011D" w:rsidRPr="002E5E61" w14:paraId="4BB50DF9" w14:textId="77777777" w:rsidTr="00464EF4">
        <w:tc>
          <w:tcPr>
            <w:tcW w:w="15027" w:type="dxa"/>
            <w:shd w:val="clear" w:color="auto" w:fill="8EAADB" w:themeFill="accent1" w:themeFillTint="99"/>
          </w:tcPr>
          <w:p w14:paraId="696E68BD" w14:textId="77777777" w:rsidR="002B011D" w:rsidRPr="002E5E61" w:rsidRDefault="002B011D" w:rsidP="00464EF4">
            <w:pPr>
              <w:rPr>
                <w:b/>
                <w:bCs/>
                <w:sz w:val="18"/>
                <w:szCs w:val="18"/>
              </w:rPr>
            </w:pPr>
            <w:r w:rsidRPr="002E5E61">
              <w:rPr>
                <w:b/>
                <w:bCs/>
                <w:sz w:val="18"/>
                <w:szCs w:val="18"/>
              </w:rPr>
              <w:t xml:space="preserve">                                                                                       </w:t>
            </w:r>
            <w:r w:rsidRPr="00F73DA8">
              <w:rPr>
                <w:b/>
                <w:bCs/>
                <w:sz w:val="18"/>
                <w:szCs w:val="18"/>
                <w:highlight w:val="yellow"/>
              </w:rPr>
              <w:t>Unit Sequence: Watching out for me!</w:t>
            </w:r>
          </w:p>
        </w:tc>
      </w:tr>
      <w:tr w:rsidR="002B011D" w:rsidRPr="002E5E61" w14:paraId="1694871E" w14:textId="77777777" w:rsidTr="00464EF4">
        <w:tc>
          <w:tcPr>
            <w:tcW w:w="15027" w:type="dxa"/>
          </w:tcPr>
          <w:p w14:paraId="7BE5F833" w14:textId="77777777" w:rsidR="002E5E61" w:rsidRDefault="002B011D" w:rsidP="00464EF4">
            <w:pPr>
              <w:shd w:val="clear" w:color="auto" w:fill="FFFFFF" w:themeFill="background1"/>
              <w:rPr>
                <w:color w:val="FF0000"/>
                <w:sz w:val="18"/>
                <w:szCs w:val="18"/>
              </w:rPr>
            </w:pPr>
            <w:r w:rsidRPr="00C90420">
              <w:rPr>
                <w:sz w:val="18"/>
                <w:szCs w:val="18"/>
              </w:rPr>
              <w:t>Week1</w:t>
            </w:r>
            <w:r w:rsidRPr="00C90420">
              <w:rPr>
                <w:b/>
                <w:bCs/>
                <w:color w:val="FF0000"/>
                <w:sz w:val="18"/>
                <w:szCs w:val="18"/>
              </w:rPr>
              <w:t xml:space="preserve"> </w:t>
            </w:r>
            <w:r w:rsidRPr="00C90420">
              <w:rPr>
                <w:color w:val="FF0000"/>
                <w:sz w:val="18"/>
                <w:szCs w:val="18"/>
              </w:rPr>
              <w:t xml:space="preserve">Learning Intention: To identify how to </w:t>
            </w:r>
            <w:r w:rsidRPr="00C90420">
              <w:rPr>
                <w:b/>
                <w:bCs/>
                <w:color w:val="FF0000"/>
                <w:sz w:val="18"/>
                <w:szCs w:val="18"/>
              </w:rPr>
              <w:t>use technology safely</w:t>
            </w:r>
            <w:r w:rsidRPr="00C90420">
              <w:rPr>
                <w:color w:val="FF0000"/>
                <w:sz w:val="18"/>
                <w:szCs w:val="18"/>
              </w:rPr>
              <w:t xml:space="preserve"> and describe the strategies we can use to keep ourselves safe when using digital devices.</w:t>
            </w:r>
          </w:p>
          <w:p w14:paraId="406FA833" w14:textId="77777777" w:rsidR="00C90420" w:rsidRPr="00C90420" w:rsidRDefault="00C90420" w:rsidP="00464EF4">
            <w:pPr>
              <w:shd w:val="clear" w:color="auto" w:fill="FFFFFF" w:themeFill="background1"/>
              <w:rPr>
                <w:color w:val="FF0000"/>
                <w:sz w:val="18"/>
                <w:szCs w:val="18"/>
              </w:rPr>
            </w:pPr>
          </w:p>
        </w:tc>
      </w:tr>
      <w:tr w:rsidR="002B011D" w:rsidRPr="002E5E61" w14:paraId="18826D77" w14:textId="77777777" w:rsidTr="00464EF4">
        <w:tc>
          <w:tcPr>
            <w:tcW w:w="15027" w:type="dxa"/>
          </w:tcPr>
          <w:p w14:paraId="5B105487" w14:textId="77777777" w:rsidR="002E5E61" w:rsidRDefault="002B011D" w:rsidP="002B011D">
            <w:pPr>
              <w:rPr>
                <w:color w:val="FF0000"/>
                <w:sz w:val="18"/>
                <w:szCs w:val="18"/>
              </w:rPr>
            </w:pPr>
            <w:r w:rsidRPr="00C90420">
              <w:rPr>
                <w:sz w:val="18"/>
                <w:szCs w:val="18"/>
              </w:rPr>
              <w:t xml:space="preserve">Week 2 </w:t>
            </w:r>
            <w:r w:rsidRPr="00C90420">
              <w:rPr>
                <w:color w:val="FF0000"/>
                <w:sz w:val="18"/>
                <w:szCs w:val="18"/>
              </w:rPr>
              <w:t xml:space="preserve">Learning Intention: To identify </w:t>
            </w:r>
            <w:r w:rsidRPr="00C90420">
              <w:rPr>
                <w:b/>
                <w:bCs/>
                <w:color w:val="FF0000"/>
                <w:sz w:val="18"/>
                <w:szCs w:val="18"/>
              </w:rPr>
              <w:t>safety symbols and procedures</w:t>
            </w:r>
            <w:r w:rsidRPr="00C90420">
              <w:rPr>
                <w:color w:val="FF0000"/>
                <w:sz w:val="18"/>
                <w:szCs w:val="18"/>
              </w:rPr>
              <w:t xml:space="preserve"> in and around different </w:t>
            </w:r>
            <w:r w:rsidRPr="00C90420">
              <w:rPr>
                <w:b/>
                <w:bCs/>
                <w:color w:val="FF0000"/>
                <w:sz w:val="18"/>
                <w:szCs w:val="18"/>
              </w:rPr>
              <w:t>water environments</w:t>
            </w:r>
            <w:r w:rsidRPr="00C90420">
              <w:rPr>
                <w:color w:val="FF0000"/>
                <w:sz w:val="18"/>
                <w:szCs w:val="18"/>
              </w:rPr>
              <w:t>.</w:t>
            </w:r>
          </w:p>
          <w:p w14:paraId="1C879596" w14:textId="77777777" w:rsidR="00C90420" w:rsidRPr="00C90420" w:rsidRDefault="00C90420" w:rsidP="002B011D">
            <w:pPr>
              <w:rPr>
                <w:color w:val="FF0000"/>
                <w:sz w:val="18"/>
                <w:szCs w:val="18"/>
              </w:rPr>
            </w:pPr>
          </w:p>
        </w:tc>
      </w:tr>
      <w:tr w:rsidR="002B011D" w:rsidRPr="002E5E61" w14:paraId="132608F9" w14:textId="77777777" w:rsidTr="00464EF4">
        <w:tc>
          <w:tcPr>
            <w:tcW w:w="15027" w:type="dxa"/>
          </w:tcPr>
          <w:p w14:paraId="5EAE3D21" w14:textId="77777777" w:rsidR="002B011D" w:rsidRPr="00C90420" w:rsidRDefault="002B011D" w:rsidP="00464EF4">
            <w:pPr>
              <w:rPr>
                <w:color w:val="FF0000"/>
                <w:sz w:val="18"/>
                <w:szCs w:val="18"/>
              </w:rPr>
            </w:pPr>
            <w:r w:rsidRPr="00C90420">
              <w:rPr>
                <w:sz w:val="18"/>
                <w:szCs w:val="18"/>
              </w:rPr>
              <w:t xml:space="preserve">Week 3 </w:t>
            </w:r>
            <w:r w:rsidRPr="00C90420">
              <w:rPr>
                <w:color w:val="FF0000"/>
                <w:sz w:val="18"/>
                <w:szCs w:val="18"/>
              </w:rPr>
              <w:t xml:space="preserve">Learning Intention: To understand and follow </w:t>
            </w:r>
            <w:r w:rsidRPr="00C90420">
              <w:rPr>
                <w:b/>
                <w:bCs/>
                <w:color w:val="FF0000"/>
                <w:sz w:val="18"/>
                <w:szCs w:val="18"/>
              </w:rPr>
              <w:t>road safety procedures</w:t>
            </w:r>
            <w:r w:rsidRPr="00C90420">
              <w:rPr>
                <w:color w:val="FF0000"/>
                <w:sz w:val="18"/>
                <w:szCs w:val="18"/>
              </w:rPr>
              <w:t>.</w:t>
            </w:r>
          </w:p>
          <w:p w14:paraId="5D6BFF17" w14:textId="77777777" w:rsidR="002E5E61" w:rsidRPr="00C90420" w:rsidRDefault="002E5E61" w:rsidP="00464EF4">
            <w:pPr>
              <w:rPr>
                <w:sz w:val="18"/>
                <w:szCs w:val="18"/>
              </w:rPr>
            </w:pPr>
          </w:p>
        </w:tc>
      </w:tr>
      <w:tr w:rsidR="002B011D" w:rsidRPr="002E5E61" w14:paraId="458BBD54" w14:textId="77777777" w:rsidTr="00464EF4">
        <w:tc>
          <w:tcPr>
            <w:tcW w:w="15027" w:type="dxa"/>
          </w:tcPr>
          <w:p w14:paraId="3532F659" w14:textId="77777777" w:rsidR="002B011D" w:rsidRPr="00C90420" w:rsidRDefault="002B011D" w:rsidP="00464EF4">
            <w:pPr>
              <w:rPr>
                <w:color w:val="FF0000"/>
                <w:sz w:val="18"/>
                <w:szCs w:val="18"/>
              </w:rPr>
            </w:pPr>
            <w:r w:rsidRPr="00C90420">
              <w:rPr>
                <w:sz w:val="18"/>
                <w:szCs w:val="18"/>
              </w:rPr>
              <w:t xml:space="preserve">Week 4 </w:t>
            </w:r>
            <w:r w:rsidRPr="00C90420">
              <w:rPr>
                <w:color w:val="FF0000"/>
                <w:sz w:val="18"/>
                <w:szCs w:val="18"/>
              </w:rPr>
              <w:t xml:space="preserve">Learning Intention: To identify how to </w:t>
            </w:r>
            <w:r w:rsidRPr="00C90420">
              <w:rPr>
                <w:b/>
                <w:bCs/>
                <w:color w:val="FF0000"/>
                <w:sz w:val="18"/>
                <w:szCs w:val="18"/>
              </w:rPr>
              <w:t>store medications and household poisons</w:t>
            </w:r>
            <w:r w:rsidRPr="00C90420">
              <w:rPr>
                <w:color w:val="FF0000"/>
                <w:sz w:val="18"/>
                <w:szCs w:val="18"/>
              </w:rPr>
              <w:t xml:space="preserve"> safely.</w:t>
            </w:r>
          </w:p>
          <w:p w14:paraId="7F218F84" w14:textId="77777777" w:rsidR="002E5E61" w:rsidRPr="00C90420" w:rsidRDefault="002E5E61" w:rsidP="00464EF4">
            <w:pPr>
              <w:rPr>
                <w:sz w:val="18"/>
                <w:szCs w:val="18"/>
              </w:rPr>
            </w:pPr>
          </w:p>
        </w:tc>
      </w:tr>
      <w:tr w:rsidR="002B011D" w:rsidRPr="002E5E61" w14:paraId="5DBC3943" w14:textId="77777777" w:rsidTr="00464EF4">
        <w:tc>
          <w:tcPr>
            <w:tcW w:w="15027" w:type="dxa"/>
          </w:tcPr>
          <w:p w14:paraId="1CEB1B75" w14:textId="77777777" w:rsidR="002B011D" w:rsidRPr="00C90420" w:rsidRDefault="002B011D" w:rsidP="00464EF4">
            <w:pPr>
              <w:rPr>
                <w:color w:val="FF0000"/>
                <w:sz w:val="18"/>
                <w:szCs w:val="18"/>
              </w:rPr>
            </w:pPr>
            <w:r w:rsidRPr="00C90420">
              <w:rPr>
                <w:sz w:val="18"/>
                <w:szCs w:val="18"/>
              </w:rPr>
              <w:t>Week 5</w:t>
            </w:r>
            <w:r w:rsidRPr="00C90420">
              <w:rPr>
                <w:color w:val="FF0000"/>
                <w:sz w:val="18"/>
                <w:szCs w:val="18"/>
              </w:rPr>
              <w:t xml:space="preserve">Learning Intention: </w:t>
            </w:r>
            <w:r w:rsidRPr="00C90420">
              <w:rPr>
                <w:b/>
                <w:bCs/>
                <w:color w:val="FF0000"/>
                <w:sz w:val="18"/>
                <w:szCs w:val="18"/>
              </w:rPr>
              <w:t>To identify and practise ways of seeking help</w:t>
            </w:r>
            <w:r w:rsidRPr="00C90420">
              <w:rPr>
                <w:color w:val="FF0000"/>
                <w:sz w:val="18"/>
                <w:szCs w:val="18"/>
              </w:rPr>
              <w:t xml:space="preserve"> in a range of different scenarios.</w:t>
            </w:r>
          </w:p>
          <w:p w14:paraId="0289061D" w14:textId="77777777" w:rsidR="002E5E61" w:rsidRPr="00C90420" w:rsidRDefault="002E5E61" w:rsidP="00464EF4">
            <w:pPr>
              <w:rPr>
                <w:sz w:val="18"/>
                <w:szCs w:val="18"/>
              </w:rPr>
            </w:pPr>
          </w:p>
        </w:tc>
      </w:tr>
      <w:tr w:rsidR="002B011D" w:rsidRPr="002E5E61" w14:paraId="0F1D0BEE" w14:textId="77777777" w:rsidTr="00464EF4">
        <w:tc>
          <w:tcPr>
            <w:tcW w:w="15027" w:type="dxa"/>
          </w:tcPr>
          <w:p w14:paraId="18ED980F" w14:textId="77777777" w:rsidR="002B011D" w:rsidRPr="00C90420" w:rsidRDefault="002B011D" w:rsidP="00464EF4">
            <w:pPr>
              <w:rPr>
                <w:color w:val="FF0000"/>
                <w:sz w:val="18"/>
                <w:szCs w:val="18"/>
              </w:rPr>
            </w:pPr>
            <w:r w:rsidRPr="00C90420">
              <w:rPr>
                <w:sz w:val="18"/>
                <w:szCs w:val="18"/>
              </w:rPr>
              <w:t>Week 6</w:t>
            </w:r>
            <w:r w:rsidRPr="00C90420">
              <w:rPr>
                <w:b/>
                <w:bCs/>
                <w:color w:val="FF0000"/>
                <w:sz w:val="18"/>
                <w:szCs w:val="18"/>
              </w:rPr>
              <w:t xml:space="preserve"> </w:t>
            </w:r>
            <w:r w:rsidRPr="00C90420">
              <w:rPr>
                <w:color w:val="FF0000"/>
                <w:sz w:val="18"/>
                <w:szCs w:val="18"/>
              </w:rPr>
              <w:t xml:space="preserve">Learning Intention: To identify </w:t>
            </w:r>
            <w:r w:rsidRPr="00C90420">
              <w:rPr>
                <w:b/>
                <w:bCs/>
                <w:color w:val="FF0000"/>
                <w:sz w:val="18"/>
                <w:szCs w:val="18"/>
              </w:rPr>
              <w:t>how the community and built environments help keep people safe</w:t>
            </w:r>
            <w:r w:rsidRPr="00C90420">
              <w:rPr>
                <w:color w:val="FF0000"/>
                <w:sz w:val="18"/>
                <w:szCs w:val="18"/>
              </w:rPr>
              <w:t>.</w:t>
            </w:r>
          </w:p>
          <w:p w14:paraId="6DEF4453" w14:textId="77777777" w:rsidR="002E5E61" w:rsidRPr="00C90420" w:rsidRDefault="002E5E61" w:rsidP="00464EF4">
            <w:pPr>
              <w:rPr>
                <w:b/>
                <w:bCs/>
                <w:color w:val="FF0000"/>
                <w:sz w:val="18"/>
                <w:szCs w:val="18"/>
              </w:rPr>
            </w:pPr>
          </w:p>
        </w:tc>
      </w:tr>
    </w:tbl>
    <w:p w14:paraId="685F72F7" w14:textId="77777777" w:rsidR="002B011D" w:rsidRPr="002B011D" w:rsidRDefault="002B011D">
      <w:pPr>
        <w:rPr>
          <w:sz w:val="16"/>
          <w:szCs w:val="16"/>
        </w:rPr>
      </w:pPr>
    </w:p>
    <w:sectPr w:rsidR="002B011D" w:rsidRPr="002B011D" w:rsidSect="002B011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DBCD9" w14:textId="77777777" w:rsidR="00974720" w:rsidRDefault="00974720" w:rsidP="002B011D">
      <w:pPr>
        <w:spacing w:after="0" w:line="240" w:lineRule="auto"/>
      </w:pPr>
      <w:r>
        <w:separator/>
      </w:r>
    </w:p>
  </w:endnote>
  <w:endnote w:type="continuationSeparator" w:id="0">
    <w:p w14:paraId="5F0630A8" w14:textId="77777777" w:rsidR="00974720" w:rsidRDefault="00974720" w:rsidP="002B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F2BDB" w14:textId="77777777" w:rsidR="00974720" w:rsidRDefault="00974720" w:rsidP="002B011D">
      <w:pPr>
        <w:spacing w:after="0" w:line="240" w:lineRule="auto"/>
      </w:pPr>
      <w:r>
        <w:separator/>
      </w:r>
    </w:p>
  </w:footnote>
  <w:footnote w:type="continuationSeparator" w:id="0">
    <w:p w14:paraId="32942B74" w14:textId="77777777" w:rsidR="00974720" w:rsidRDefault="00974720" w:rsidP="002B0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9BE"/>
    <w:multiLevelType w:val="hybridMultilevel"/>
    <w:tmpl w:val="7C287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3B3A03"/>
    <w:multiLevelType w:val="hybridMultilevel"/>
    <w:tmpl w:val="EE2258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9F"/>
    <w:rsid w:val="000A0255"/>
    <w:rsid w:val="002855FB"/>
    <w:rsid w:val="002B011D"/>
    <w:rsid w:val="002E5E61"/>
    <w:rsid w:val="00692AAE"/>
    <w:rsid w:val="006F48F9"/>
    <w:rsid w:val="00974720"/>
    <w:rsid w:val="00BE2411"/>
    <w:rsid w:val="00C90420"/>
    <w:rsid w:val="00F4059F"/>
    <w:rsid w:val="00F73DA8"/>
    <w:rsid w:val="00FA24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624D"/>
  <w15:chartTrackingRefBased/>
  <w15:docId w15:val="{690DF16E-365A-4FE6-8AFF-37B004A4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0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B011D"/>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B011D"/>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11D"/>
    <w:pPr>
      <w:ind w:left="720"/>
      <w:contextualSpacing/>
    </w:pPr>
  </w:style>
  <w:style w:type="table" w:customStyle="1" w:styleId="TableGrid2">
    <w:name w:val="Table Grid2"/>
    <w:basedOn w:val="TableNormal"/>
    <w:next w:val="TableGrid"/>
    <w:uiPriority w:val="39"/>
    <w:rsid w:val="002B0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11D"/>
  </w:style>
  <w:style w:type="paragraph" w:styleId="Footer">
    <w:name w:val="footer"/>
    <w:basedOn w:val="Normal"/>
    <w:link w:val="FooterChar"/>
    <w:uiPriority w:val="99"/>
    <w:unhideWhenUsed/>
    <w:rsid w:val="002B0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Beenish Tayyab</dc:creator>
  <cp:keywords/>
  <dc:description/>
  <cp:lastModifiedBy>Beenish Tayyab</cp:lastModifiedBy>
  <cp:revision>2</cp:revision>
  <dcterms:created xsi:type="dcterms:W3CDTF">2021-01-13T11:06:00Z</dcterms:created>
  <dcterms:modified xsi:type="dcterms:W3CDTF">2021-01-13T11:06:00Z</dcterms:modified>
</cp:coreProperties>
</file>